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sz w:val="24"/>
          <w:szCs w:val="24"/>
          <w:lang w:val="en-US"/>
        </w:rPr>
      </w:pPr>
      <w:r>
        <w:rPr>
          <w:sz w:val="24"/>
          <w:szCs w:val="24"/>
          <w:lang w:val="en-US"/>
        </w:rPr>
        <w:t>Minutes of the meeting of Cheverell Magna Parish Council.</w:t>
      </w:r>
    </w:p>
    <w:p>
      <w:pPr>
        <w:pStyle w:val="Normal1"/>
        <w:jc w:val="center"/>
        <w:rPr>
          <w:sz w:val="24"/>
          <w:szCs w:val="24"/>
          <w:lang w:val="en-US"/>
        </w:rPr>
      </w:pPr>
      <w:r>
        <w:rPr>
          <w:sz w:val="24"/>
          <w:szCs w:val="24"/>
          <w:lang w:val="en-US"/>
        </w:rPr>
        <w:t>Held at The Pavilion, Witchcombe Close, Great Cheverell.</w:t>
      </w:r>
    </w:p>
    <w:p>
      <w:pPr>
        <w:pStyle w:val="Normal1"/>
        <w:jc w:val="center"/>
        <w:rPr/>
      </w:pPr>
      <w:r>
        <w:rPr>
          <w:rStyle w:val="DefaultParagraphFont"/>
          <w:sz w:val="24"/>
          <w:szCs w:val="24"/>
          <w:lang w:val="en-US"/>
        </w:rPr>
        <w:t>Monday 10</w:t>
      </w:r>
      <w:r>
        <w:rPr>
          <w:rStyle w:val="DefaultParagraphFont"/>
          <w:position w:val="6"/>
          <w:sz w:val="16"/>
          <w:sz w:val="24"/>
          <w:szCs w:val="24"/>
          <w:lang w:val="en-US"/>
        </w:rPr>
        <w:t>th</w:t>
      </w:r>
      <w:r>
        <w:rPr>
          <w:rStyle w:val="DefaultParagraphFont"/>
          <w:sz w:val="24"/>
          <w:szCs w:val="24"/>
          <w:lang w:val="en-US"/>
        </w:rPr>
        <w:t xml:space="preserve"> January 2022 at 7.30pm.</w:t>
      </w:r>
    </w:p>
    <w:p>
      <w:pPr>
        <w:pStyle w:val="Normal1"/>
        <w:jc w:val="center"/>
        <w:rPr>
          <w:sz w:val="24"/>
          <w:szCs w:val="24"/>
          <w:lang w:val="en-US"/>
        </w:rPr>
      </w:pPr>
      <w:r>
        <w:rPr>
          <w:sz w:val="24"/>
          <w:szCs w:val="24"/>
          <w:lang w:val="en-US"/>
        </w:rPr>
      </w:r>
    </w:p>
    <w:tbl>
      <w:tblPr>
        <w:tblW w:w="5954" w:type="dxa"/>
        <w:jc w:val="left"/>
        <w:tblInd w:w="2825" w:type="dxa"/>
        <w:tblLayout w:type="fixed"/>
        <w:tblCellMar>
          <w:top w:w="0" w:type="dxa"/>
          <w:left w:w="108" w:type="dxa"/>
          <w:bottom w:w="0" w:type="dxa"/>
          <w:right w:w="108" w:type="dxa"/>
        </w:tblCellMar>
      </w:tblPr>
      <w:tblGrid>
        <w:gridCol w:w="1283"/>
        <w:gridCol w:w="3648"/>
        <w:gridCol w:w="997"/>
        <w:gridCol w:w="26"/>
      </w:tblGrid>
      <w:tr>
        <w:trPr>
          <w:trHeight w:val="498" w:hRule="atLeast"/>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Minute No.</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jc w:val="center"/>
              <w:rPr>
                <w:sz w:val="24"/>
                <w:szCs w:val="24"/>
                <w:lang w:val="en-US"/>
              </w:rPr>
            </w:pPr>
            <w:r>
              <w:rPr>
                <w:sz w:val="24"/>
                <w:szCs w:val="24"/>
                <w:lang w:val="en-US"/>
              </w:rPr>
              <w:t>Item</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jc w:val="center"/>
              <w:rPr>
                <w:sz w:val="24"/>
                <w:szCs w:val="24"/>
                <w:lang w:val="en-US"/>
              </w:rPr>
            </w:pPr>
            <w:r>
              <w:rPr>
                <w:sz w:val="24"/>
                <w:szCs w:val="24"/>
                <w:lang w:val="en-US"/>
              </w:rPr>
              <w:t>Action</w:t>
            </w:r>
          </w:p>
        </w:tc>
        <w:tc>
          <w:tcPr>
            <w:tcW w:w="26" w:type="dxa"/>
            <w:tcBorders/>
            <w:tcMar>
              <w:left w:w="10" w:type="dxa"/>
              <w:right w:w="10" w:type="dxa"/>
            </w:tcMar>
          </w:tcPr>
          <w:p>
            <w:pPr>
              <w:pStyle w:val="Normal1"/>
              <w:spacing w:lineRule="auto" w:line="240" w:before="0" w:after="0"/>
              <w:jc w:val="center"/>
              <w:rPr>
                <w:sz w:val="24"/>
                <w:szCs w:val="24"/>
                <w:lang w:val="en-US"/>
              </w:rPr>
            </w:pPr>
            <w:r>
              <w:rPr>
                <w:sz w:val="24"/>
                <w:szCs w:val="24"/>
                <w:lang w:val="en-US"/>
              </w:rPr>
            </w:r>
          </w:p>
        </w:tc>
      </w:tr>
      <w:tr>
        <w:trPr>
          <w:trHeight w:val="748" w:hRule="atLeast"/>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Councillors in Attendance:</w:t>
            </w:r>
          </w:p>
          <w:p>
            <w:pPr>
              <w:pStyle w:val="Normal1"/>
              <w:spacing w:lineRule="auto" w:line="240" w:before="0" w:after="0"/>
              <w:rPr>
                <w:sz w:val="24"/>
                <w:szCs w:val="24"/>
                <w:lang w:val="en-US"/>
              </w:rPr>
            </w:pPr>
            <w:r>
              <w:rPr>
                <w:sz w:val="24"/>
                <w:szCs w:val="24"/>
                <w:lang w:val="en-US"/>
              </w:rPr>
              <w:t>K. Porter, E. Morillo-Hall, S. Burgess. P. Stevens, J. Hart</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2/22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Public in Attendance: 2</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3/22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Apologies for Absence: nil</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4/22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Co-option of A. Alexander.</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5/22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Disclosure of Interest:</w:t>
            </w:r>
          </w:p>
          <w:p>
            <w:pPr>
              <w:pStyle w:val="Normal1"/>
              <w:spacing w:lineRule="auto" w:line="240" w:before="0" w:after="0"/>
              <w:rPr>
                <w:sz w:val="24"/>
                <w:szCs w:val="24"/>
                <w:lang w:val="en-US"/>
              </w:rPr>
            </w:pPr>
            <w:r>
              <w:rPr>
                <w:sz w:val="24"/>
                <w:szCs w:val="24"/>
                <w:lang w:val="en-US"/>
              </w:rPr>
              <w:t>Planning application PL/2021/08500 61 High Street. Erection of rear conservatory. Cllr Burgess was not involved in discussion</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6/22</w:t>
            </w:r>
          </w:p>
          <w:p>
            <w:pPr>
              <w:pStyle w:val="Normal1"/>
              <w:spacing w:lineRule="auto" w:line="240" w:before="0" w:after="0"/>
              <w:rPr>
                <w:sz w:val="24"/>
                <w:szCs w:val="24"/>
                <w:lang w:val="en-US"/>
              </w:rPr>
            </w:pPr>
            <w:r>
              <w:rPr>
                <w:sz w:val="24"/>
                <w:szCs w:val="24"/>
                <w:lang w:val="en-US"/>
              </w:rPr>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Open Forum:</w:t>
            </w:r>
          </w:p>
          <w:p>
            <w:pPr>
              <w:pStyle w:val="Normal1"/>
              <w:spacing w:lineRule="auto" w:line="240" w:before="0" w:after="0"/>
              <w:rPr>
                <w:sz w:val="24"/>
                <w:szCs w:val="24"/>
                <w:lang w:val="en-US"/>
              </w:rPr>
            </w:pPr>
            <w:r>
              <w:rPr>
                <w:sz w:val="24"/>
                <w:szCs w:val="24"/>
                <w:lang w:val="en-US"/>
              </w:rPr>
              <w:t>A parishioner is still sorting out the seating area for the bench to be sited in School Lane.</w:t>
            </w:r>
          </w:p>
          <w:p>
            <w:pPr>
              <w:pStyle w:val="Normal1"/>
              <w:spacing w:lineRule="auto" w:line="240" w:before="0" w:after="0"/>
              <w:rPr>
                <w:sz w:val="24"/>
                <w:szCs w:val="24"/>
                <w:lang w:val="en-US"/>
              </w:rPr>
            </w:pPr>
            <w:r>
              <w:rPr>
                <w:sz w:val="24"/>
                <w:szCs w:val="24"/>
                <w:lang w:val="en-US"/>
              </w:rPr>
              <w:t>Member of the public has asked for more street lighting. To be looked at.</w:t>
            </w:r>
          </w:p>
          <w:p>
            <w:pPr>
              <w:pStyle w:val="Normal1"/>
              <w:spacing w:lineRule="auto" w:line="240" w:before="0" w:after="0"/>
              <w:rPr>
                <w:sz w:val="24"/>
                <w:szCs w:val="24"/>
                <w:lang w:val="en-US"/>
              </w:rPr>
            </w:pPr>
            <w:r>
              <w:rPr>
                <w:sz w:val="24"/>
                <w:szCs w:val="24"/>
                <w:lang w:val="en-US"/>
              </w:rPr>
              <w:t>Any news on the clearing of the footpath by the school to the main road. Will be chased up.</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K. Porter</w:t>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S. Burgess</w:t>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7/22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Minutes of Meeting December:</w:t>
            </w:r>
          </w:p>
          <w:p>
            <w:pPr>
              <w:pStyle w:val="Normal1"/>
              <w:spacing w:lineRule="auto" w:line="240" w:before="0" w:after="0"/>
              <w:rPr>
                <w:sz w:val="24"/>
                <w:szCs w:val="24"/>
                <w:lang w:val="en-US"/>
              </w:rPr>
            </w:pPr>
            <w:r>
              <w:rPr>
                <w:sz w:val="24"/>
                <w:szCs w:val="24"/>
                <w:lang w:val="en-US"/>
              </w:rPr>
              <w:t>Agreed and signed.</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8/22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No report received from Wiltshire Council.</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9/22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Finance Report:</w:t>
            </w:r>
          </w:p>
          <w:p>
            <w:pPr>
              <w:pStyle w:val="Normal1"/>
              <w:spacing w:lineRule="auto" w:line="240" w:before="0" w:after="0"/>
              <w:rPr>
                <w:sz w:val="24"/>
                <w:szCs w:val="24"/>
                <w:lang w:val="en-US"/>
              </w:rPr>
            </w:pPr>
            <w:r>
              <w:rPr>
                <w:sz w:val="24"/>
                <w:szCs w:val="24"/>
                <w:lang w:val="en-US"/>
              </w:rPr>
              <w:t>Council noted payments to Ringstones media £28 and approved payments to R. Hayward 200 mowing costs 2021, K. Porter £21.97 for refreshments on hedge planting day, £4.50 for face masks and £31.30 printer ink.</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10/22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Planning Application:</w:t>
            </w:r>
          </w:p>
          <w:p>
            <w:pPr>
              <w:pStyle w:val="Normal1"/>
              <w:spacing w:lineRule="auto" w:line="240" w:before="0" w:after="0"/>
              <w:rPr>
                <w:sz w:val="24"/>
                <w:szCs w:val="24"/>
                <w:lang w:val="en-US"/>
              </w:rPr>
            </w:pPr>
            <w:r>
              <w:rPr>
                <w:sz w:val="24"/>
                <w:szCs w:val="24"/>
                <w:lang w:val="en-US"/>
              </w:rPr>
              <w:t>PL/2021/08500 erection of rear conservatory, 61 High Street – no comments received, Approved</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11/22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Planting Project:</w:t>
            </w:r>
          </w:p>
          <w:p>
            <w:pPr>
              <w:pStyle w:val="Normal1"/>
              <w:spacing w:lineRule="auto" w:line="240" w:before="0" w:after="0"/>
              <w:rPr>
                <w:sz w:val="24"/>
                <w:szCs w:val="24"/>
                <w:lang w:val="en-US"/>
              </w:rPr>
            </w:pPr>
            <w:r>
              <w:rPr>
                <w:sz w:val="24"/>
                <w:szCs w:val="24"/>
                <w:lang w:val="en-US"/>
              </w:rPr>
              <w:t>Great turn out for the planting. This went well, but infill planting on existing hedgerow still to be done</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S. Burgess</w:t>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12/22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Flooding Update: The farmer has cleared the ditches and cut hedges down The Green. Also the Environment Agency has shown concern about the flooding st The Green.</w:t>
            </w:r>
          </w:p>
          <w:p>
            <w:pPr>
              <w:pStyle w:val="Normal1"/>
              <w:spacing w:lineRule="auto" w:line="240" w:before="0" w:after="0"/>
              <w:rPr>
                <w:sz w:val="24"/>
                <w:szCs w:val="24"/>
                <w:lang w:val="en-US"/>
              </w:rPr>
            </w:pPr>
            <w:r>
              <w:rPr>
                <w:sz w:val="24"/>
                <w:szCs w:val="24"/>
                <w:lang w:val="en-US"/>
              </w:rPr>
              <w:t>The footpath from School Lane down past Weavers Mead needs clearing and the ditch needs to be dug out</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E. Morillo-Hall</w:t>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13/22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Dog Fouling: 2 dispensers of poo bags have been put up with 2 more to be put up around the village.</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E. Morillo-Hall</w:t>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14/22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pPr>
            <w:r>
              <w:rPr>
                <w:rStyle w:val="DefaultParagraphFont"/>
                <w:sz w:val="24"/>
                <w:szCs w:val="24"/>
                <w:lang w:val="en-US"/>
              </w:rPr>
              <w:t>Village Clean up: Set for 9</w:t>
            </w:r>
            <w:r>
              <w:rPr>
                <w:rStyle w:val="DefaultParagraphFont"/>
                <w:position w:val="6"/>
                <w:sz w:val="16"/>
                <w:sz w:val="24"/>
                <w:szCs w:val="24"/>
                <w:lang w:val="en-US"/>
              </w:rPr>
              <w:t>th</w:t>
            </w:r>
            <w:r>
              <w:rPr>
                <w:rStyle w:val="DefaultParagraphFont"/>
                <w:sz w:val="24"/>
                <w:szCs w:val="24"/>
                <w:lang w:val="en-US"/>
              </w:rPr>
              <w:t xml:space="preserve"> April 2022 but we will need more cleaning kit.</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K. Porter</w:t>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15/22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Cheverell Magna Pavilion Trust: Nothing has been received from the Pavilion Committee so we need to chase up on this.</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K. Porter</w:t>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16/22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Gleeson’s Hut: This needs to be emptied asap and fully sorted out as to what is kept and what is put in a skip. We need to co-ordinate between The Soap Box Derby committee and the Pavilion Trust and ourselves as to the best date to do this.</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K. Porter</w:t>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17/22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Clerk Position: No applications as yet so need to re-advertise the position</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K. Porter &amp;</w:t>
            </w:r>
          </w:p>
          <w:p>
            <w:pPr>
              <w:pStyle w:val="Normal1"/>
              <w:spacing w:lineRule="auto" w:line="240" w:before="0" w:after="0"/>
              <w:rPr>
                <w:sz w:val="24"/>
                <w:szCs w:val="24"/>
                <w:lang w:val="en-US"/>
              </w:rPr>
            </w:pPr>
            <w:r>
              <w:rPr>
                <w:sz w:val="24"/>
                <w:szCs w:val="24"/>
                <w:lang w:val="en-US"/>
              </w:rPr>
              <w:t>E. Morillo-Hall</w:t>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18/22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pPr>
            <w:r>
              <w:rPr>
                <w:rStyle w:val="DefaultParagraphFont"/>
                <w:sz w:val="24"/>
                <w:szCs w:val="24"/>
                <w:lang w:val="en-US"/>
              </w:rPr>
              <w:t>New Meeting Dates: To be the 1</w:t>
            </w:r>
            <w:r>
              <w:rPr>
                <w:rStyle w:val="DefaultParagraphFont"/>
                <w:position w:val="6"/>
                <w:sz w:val="16"/>
                <w:sz w:val="24"/>
                <w:szCs w:val="24"/>
                <w:lang w:val="en-US"/>
              </w:rPr>
              <w:t>st</w:t>
            </w:r>
            <w:r>
              <w:rPr>
                <w:rStyle w:val="DefaultParagraphFont"/>
                <w:sz w:val="24"/>
                <w:szCs w:val="24"/>
                <w:lang w:val="en-US"/>
              </w:rPr>
              <w:t xml:space="preserve"> Monday of each month except August when there is no meeting, April for AGM and May when we have the Annual Parish Council Meeting. These dates are to be arranged closer to the time to keep in with coronavirus restrictions at that time.</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19/22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 xml:space="preserve">Standing Reports: The prison governor is unable to come to the meetings so Cllr J. Hart with be the liaison person. </w:t>
            </w:r>
          </w:p>
          <w:p>
            <w:pPr>
              <w:pStyle w:val="Normal1"/>
              <w:spacing w:lineRule="auto" w:line="240" w:before="0" w:after="0"/>
              <w:rPr>
                <w:sz w:val="24"/>
                <w:szCs w:val="24"/>
                <w:lang w:val="en-US"/>
              </w:rPr>
            </w:pPr>
            <w:r>
              <w:rPr>
                <w:sz w:val="24"/>
                <w:szCs w:val="24"/>
                <w:lang w:val="en-US"/>
              </w:rPr>
              <w:t>Victoria Park had reported some noise and disturbance with the prison and discussions being held.</w:t>
            </w:r>
          </w:p>
          <w:p>
            <w:pPr>
              <w:pStyle w:val="Normal1"/>
              <w:spacing w:lineRule="auto" w:line="240" w:before="0" w:after="0"/>
              <w:rPr>
                <w:sz w:val="24"/>
                <w:szCs w:val="24"/>
                <w:lang w:val="en-US"/>
              </w:rPr>
            </w:pPr>
            <w:r>
              <w:rPr>
                <w:sz w:val="24"/>
                <w:szCs w:val="24"/>
                <w:lang w:val="en-US"/>
              </w:rPr>
              <w:t>There has been a drugs problem around the Pavilion car park which the police got involved with. Need to ask residents of the village to be aware of what is happening around them in the area.</w:t>
            </w:r>
          </w:p>
          <w:p>
            <w:pPr>
              <w:pStyle w:val="Normal1"/>
              <w:spacing w:lineRule="auto" w:line="240" w:before="0" w:after="0"/>
              <w:rPr>
                <w:sz w:val="24"/>
                <w:szCs w:val="24"/>
                <w:lang w:val="en-US"/>
              </w:rPr>
            </w:pPr>
            <w:r>
              <w:rPr>
                <w:sz w:val="24"/>
                <w:szCs w:val="24"/>
                <w:lang w:val="en-US"/>
              </w:rPr>
              <w:t>Suggestion that some sort of educational promotion needs to take place along with other villages in the area to highlight the problems.</w:t>
            </w:r>
          </w:p>
        </w:tc>
        <w:tc>
          <w:tcPr>
            <w:tcW w:w="997"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Cllrs</w:t>
            </w:r>
          </w:p>
        </w:tc>
        <w:tc>
          <w:tcPr>
            <w:tcW w:w="26" w:type="dxa"/>
            <w:tcBorders/>
            <w:tcMar>
              <w:left w:w="10" w:type="dxa"/>
              <w:right w:w="10" w:type="dxa"/>
            </w:tcMar>
          </w:tcPr>
          <w:p>
            <w:pPr>
              <w:pStyle w:val="Normal1"/>
              <w:spacing w:lineRule="auto" w:line="240" w:before="0" w:after="0"/>
              <w:rPr>
                <w:sz w:val="24"/>
                <w:szCs w:val="24"/>
                <w:lang w:val="en-US"/>
              </w:rPr>
            </w:pPr>
            <w:r>
              <w:rPr>
                <w:sz w:val="24"/>
                <w:szCs w:val="24"/>
                <w:lang w:val="en-US"/>
              </w:rPr>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20/22</w:t>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Victoria Park: No report from VPRA.</w:t>
            </w:r>
          </w:p>
        </w:tc>
        <w:tc>
          <w:tcPr>
            <w:tcW w:w="1023" w:type="dxa"/>
            <w:gridSpan w:val="2"/>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p>
            <w:pPr>
              <w:pStyle w:val="Normal1"/>
              <w:spacing w:lineRule="auto" w:line="240" w:before="0" w:after="0"/>
              <w:rPr>
                <w:sz w:val="24"/>
                <w:szCs w:val="24"/>
                <w:lang w:val="en-US"/>
              </w:rPr>
            </w:pPr>
            <w:r>
              <w:rPr>
                <w:sz w:val="24"/>
                <w:szCs w:val="24"/>
                <w:lang w:val="en-US"/>
              </w:rPr>
              <w:t>D. Read</w:t>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c>
          <w:tcPr>
            <w:tcW w:w="3648"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t>Meeting closed at 20.58pm</w:t>
            </w:r>
          </w:p>
        </w:tc>
        <w:tc>
          <w:tcPr>
            <w:tcW w:w="1023" w:type="dxa"/>
            <w:gridSpan w:val="2"/>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rPr>
                <w:sz w:val="24"/>
                <w:szCs w:val="24"/>
                <w:lang w:val="en-US"/>
              </w:rPr>
            </w:pPr>
            <w:r>
              <w:rPr>
                <w:sz w:val="24"/>
                <w:szCs w:val="24"/>
                <w:lang w:val="en-US"/>
              </w:rPr>
            </w:r>
          </w:p>
        </w:tc>
      </w:tr>
    </w:tbl>
    <w:p>
      <w:pPr>
        <w:pStyle w:val="Normal1"/>
        <w:rPr>
          <w:sz w:val="24"/>
          <w:szCs w:val="24"/>
          <w:lang w:val="en-US"/>
        </w:rPr>
      </w:pPr>
      <w:r>
        <w:rPr>
          <w:sz w:val="24"/>
          <w:szCs w:val="24"/>
          <w:lang w:val="en-US"/>
        </w:rPr>
      </w:r>
    </w:p>
    <w:p>
      <w:pPr>
        <w:pStyle w:val="Normal1"/>
        <w:rPr>
          <w:sz w:val="24"/>
          <w:szCs w:val="24"/>
          <w:lang w:val="en-US"/>
        </w:rPr>
      </w:pPr>
      <w:r>
        <w:rPr>
          <w:sz w:val="24"/>
          <w:szCs w:val="24"/>
          <w:lang w:val="en-US"/>
        </w:rPr>
      </w:r>
    </w:p>
    <w:p>
      <w:pPr>
        <w:pStyle w:val="Normal1"/>
        <w:rPr>
          <w:sz w:val="24"/>
          <w:szCs w:val="24"/>
          <w:lang w:val="en-US"/>
        </w:rPr>
      </w:pPr>
      <w:r>
        <w:rPr>
          <w:sz w:val="24"/>
          <w:szCs w:val="24"/>
          <w:lang w:val="en-US"/>
        </w:rPr>
      </w:r>
    </w:p>
    <w:p>
      <w:pPr>
        <w:pStyle w:val="Normal1"/>
        <w:jc w:val="center"/>
        <w:rPr>
          <w:sz w:val="24"/>
          <w:szCs w:val="24"/>
          <w:lang w:val="en-US"/>
        </w:rPr>
      </w:pPr>
      <w:r>
        <w:rPr>
          <w:sz w:val="24"/>
          <w:szCs w:val="24"/>
          <w:lang w:val="en-US"/>
        </w:rPr>
        <w:t>For more information please see the Council’s website at:-</w:t>
      </w:r>
    </w:p>
    <w:p>
      <w:pPr>
        <w:pStyle w:val="Normal1"/>
        <w:jc w:val="center"/>
        <w:rPr/>
      </w:pPr>
      <w:r>
        <w:rPr>
          <w:rStyle w:val="DefaultParagraphFont"/>
          <w:sz w:val="24"/>
          <w:szCs w:val="24"/>
          <w:lang w:val="en-US"/>
        </w:rPr>
        <w:t>WWW.GREAT CHEVERELL.ORG</w:t>
      </w:r>
    </w:p>
    <w:sectPr>
      <w:type w:val="nextPage"/>
      <w:pgSz w:w="11906" w:h="16838"/>
      <w:pgMar w:left="1440" w:right="1440" w:header="0" w:top="1440" w:footer="0" w:bottom="144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s>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GB" w:eastAsia="en-US" w:bidi="ar-SA"/>
      </w:rPr>
    </w:rPrDefault>
    <w:pPrDefault>
      <w:pPr>
        <w:widowControl/>
        <w:suppressAutoHyphens w:val="false"/>
        <w:spacing w:lineRule="auto" w:line="254"/>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54" w:before="0" w:after="160"/>
      <w:jc w:val="left"/>
      <w:textAlignment w:val="auto"/>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GB" w:eastAsia="en-US" w:bidi="ar-SA"/>
    </w:rPr>
  </w:style>
  <w:style w:type="character" w:styleId="DefaultParagraphFont">
    <w:name w:val="Default Paragraph Font"/>
    <w:qFormat/>
    <w:rPr/>
  </w:style>
  <w:style w:type="character" w:styleId="Hyperlink">
    <w:name w:val="Hyperlink"/>
    <w:basedOn w:val="DefaultParagraphFont"/>
    <w:qFormat/>
    <w:rPr>
      <w:color w:val="0563C1"/>
      <w:u w:val="single"/>
    </w:rPr>
  </w:style>
  <w:style w:type="character" w:styleId="UnresolvedMention">
    <w:name w:val="Unresolved Mention"/>
    <w:basedOn w:val="DefaultParagraphFont"/>
    <w:qFormat/>
    <w:rPr>
      <w:color w:val="605E5C"/>
      <w:shd w:fill="E1DFDD" w:val="clea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54" w:before="0" w:after="160"/>
      <w:jc w:val="left"/>
      <w:textAlignment w:val="auto"/>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GB" w:eastAsia="en-US" w:bidi="ar-SA"/>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89</TotalTime>
  <Application>LibreOffice/7.1.7.2$Windows_X86_64 LibreOffice_project/c6a4e3954236145e2acb0b65f68614365aeee33f</Application>
  <AppVersion>15.0000</AppVersion>
  <Pages>3</Pages>
  <Words>518</Words>
  <Characters>2959</Characters>
  <CharactersWithSpaces>3471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2022-01-13T11:42:00Z</dcterms:created>
  <dc:creator>Paul Stevens</dc:creator>
  <dc:description/>
  <dc:language>en-GB</dc:language>
  <cp:lastModifiedBy>Paul Stevens</cp:lastModifiedBy>
  <cp:lastPrinted>2022-01-13T12:40:00Z</cp:lastPrinted>
  <dcterms:modified xsi:type="dcterms:W3CDTF">2022-01-20T23:02:00Z</dcterms:modified>
  <cp:revision>2</cp:revision>
  <dc:subject/>
  <dc:title/>
</cp:coreProperties>
</file>